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70F3A3D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B746AA">
        <w:rPr>
          <w:noProof w:val="0"/>
          <w:sz w:val="24"/>
          <w:szCs w:val="24"/>
        </w:rPr>
        <w:t>8</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7F2676">
        <w:rPr>
          <w:bCs/>
          <w:noProof w:val="0"/>
          <w:sz w:val="24"/>
          <w:szCs w:val="24"/>
        </w:rPr>
        <w:t>2</w:t>
      </w:r>
      <w:r w:rsidR="00FC21EA">
        <w:rPr>
          <w:bCs/>
          <w:noProof w:val="0"/>
          <w:sz w:val="24"/>
          <w:szCs w:val="24"/>
        </w:rPr>
        <w:t>6531</w:t>
      </w:r>
    </w:p>
    <w:p w14:paraId="1822B173" w14:textId="09AD2DF3" w:rsidR="00CD4C7B" w:rsidRPr="00B1063A" w:rsidRDefault="00045607" w:rsidP="00CD4C7B">
      <w:pPr>
        <w:pStyle w:val="Header"/>
        <w:tabs>
          <w:tab w:val="right" w:pos="9639"/>
        </w:tabs>
        <w:rPr>
          <w:bCs/>
          <w:noProof w:val="0"/>
          <w:sz w:val="24"/>
          <w:szCs w:val="24"/>
          <w:lang w:val="en-US"/>
        </w:rPr>
      </w:pPr>
      <w:bookmarkStart w:id="1" w:name="_Hlk490060723"/>
      <w:r>
        <w:rPr>
          <w:rFonts w:cs="Arial"/>
          <w:sz w:val="24"/>
          <w:szCs w:val="24"/>
          <w:lang w:val="en-US"/>
        </w:rPr>
        <w:t>Toulouse, France</w:t>
      </w:r>
      <w:r w:rsidR="001370F2" w:rsidRPr="00B1063A">
        <w:rPr>
          <w:rFonts w:cs="Arial"/>
          <w:sz w:val="24"/>
          <w:szCs w:val="24"/>
          <w:lang w:val="en-US"/>
        </w:rPr>
        <w:t xml:space="preserve">, </w:t>
      </w:r>
      <w:bookmarkEnd w:id="1"/>
      <w:r w:rsidR="00B746AA" w:rsidRPr="00B746AA">
        <w:rPr>
          <w:rFonts w:cs="Arial"/>
          <w:sz w:val="24"/>
          <w:szCs w:val="24"/>
          <w:lang w:val="en-US"/>
        </w:rPr>
        <w:t>14 – 18 November</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3416549E"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774CC9">
        <w:rPr>
          <w:rFonts w:cs="Arial"/>
          <w:b/>
          <w:bCs/>
          <w:sz w:val="24"/>
          <w:lang w:val="en-US" w:eastAsia="ja-JP"/>
        </w:rPr>
        <w:t>10.2.4</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28BBE30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74CC9">
        <w:rPr>
          <w:rFonts w:ascii="Arial" w:hAnsi="Arial" w:cs="Arial"/>
          <w:b/>
          <w:bCs/>
          <w:sz w:val="24"/>
        </w:rPr>
        <w:t xml:space="preserve">On open points </w:t>
      </w:r>
      <w:r w:rsidR="00774CC9" w:rsidRPr="00774CC9">
        <w:rPr>
          <w:rFonts w:ascii="Arial" w:hAnsi="Arial" w:cs="Arial"/>
          <w:b/>
          <w:bCs/>
          <w:sz w:val="24"/>
        </w:rPr>
        <w:t xml:space="preserve">for </w:t>
      </w:r>
      <w:r w:rsidR="00495A26">
        <w:rPr>
          <w:rFonts w:ascii="Arial" w:hAnsi="Arial" w:cs="Arial"/>
          <w:b/>
          <w:bCs/>
          <w:sz w:val="24"/>
        </w:rPr>
        <w:t>SON/</w:t>
      </w:r>
      <w:r w:rsidR="00774CC9" w:rsidRPr="00774CC9">
        <w:rPr>
          <w:rFonts w:ascii="Arial" w:hAnsi="Arial" w:cs="Arial"/>
          <w:b/>
          <w:bCs/>
          <w:sz w:val="24"/>
        </w:rPr>
        <w:t>MDT enhancements</w:t>
      </w:r>
      <w:r w:rsidR="00774CC9">
        <w:rPr>
          <w:rFonts w:ascii="Arial" w:hAnsi="Arial" w:cs="Arial"/>
          <w:b/>
          <w:bCs/>
          <w:sz w:val="24"/>
        </w:rPr>
        <w:t xml:space="preserve"> for NPN</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1D8BD1A9" w:rsidR="00CD4C7B" w:rsidRDefault="00774CC9" w:rsidP="00CD4C7B">
      <w:r>
        <w:t xml:space="preserve">RAN3#117bis-e identified some open points relative to </w:t>
      </w:r>
      <w:r w:rsidRPr="00774CC9">
        <w:t>MDT enhancements for NPN</w:t>
      </w:r>
      <w:r>
        <w:t>. We here provide our view.</w:t>
      </w:r>
    </w:p>
    <w:p w14:paraId="479DA40B" w14:textId="77777777" w:rsidR="00CD4C7B" w:rsidRPr="006E13D1" w:rsidRDefault="00CD4C7B" w:rsidP="00CD4C7B">
      <w:pPr>
        <w:pStyle w:val="Heading1"/>
      </w:pPr>
      <w:r w:rsidRPr="006E13D1">
        <w:t>2</w:t>
      </w:r>
      <w:r w:rsidRPr="006E13D1">
        <w:tab/>
      </w:r>
      <w:r w:rsidR="00972FD7">
        <w:t>Discussion</w:t>
      </w:r>
    </w:p>
    <w:p w14:paraId="66277A12" w14:textId="77777777" w:rsidR="00774CC9" w:rsidRDefault="00774CC9" w:rsidP="00CD4C7B">
      <w:pPr>
        <w:pStyle w:val="00BodyText"/>
        <w:spacing w:after="0"/>
        <w:rPr>
          <w:rFonts w:ascii="Times New Roman" w:hAnsi="Times New Roman"/>
          <w:sz w:val="20"/>
          <w:lang w:val="en-GB"/>
        </w:rPr>
      </w:pPr>
    </w:p>
    <w:p w14:paraId="20584BB0" w14:textId="3666A409" w:rsidR="00774CC9" w:rsidRPr="00774CC9" w:rsidRDefault="00774CC9" w:rsidP="00774CC9">
      <w:pPr>
        <w:pStyle w:val="00BodyText"/>
        <w:spacing w:after="0"/>
        <w:rPr>
          <w:rFonts w:ascii="Calibri" w:eastAsia="MS Mincho" w:hAnsi="Calibri" w:cs="Calibri"/>
          <w:b/>
          <w:sz w:val="18"/>
          <w:szCs w:val="18"/>
          <w:u w:val="single"/>
          <w:lang w:eastAsia="zh-CN"/>
        </w:rPr>
      </w:pPr>
      <w:r w:rsidRPr="00140636">
        <w:rPr>
          <w:rFonts w:ascii="Calibri" w:eastAsia="MS Mincho" w:hAnsi="Calibri" w:cs="Calibri"/>
          <w:b/>
          <w:sz w:val="18"/>
          <w:szCs w:val="18"/>
          <w:u w:val="single"/>
          <w:lang w:eastAsia="zh-CN"/>
        </w:rPr>
        <w:t xml:space="preserve">In Rel-18, </w:t>
      </w:r>
      <w:bookmarkStart w:id="2" w:name="_Hlk118366099"/>
      <w:r w:rsidRPr="00140636">
        <w:rPr>
          <w:rFonts w:ascii="Calibri" w:eastAsia="MS Mincho" w:hAnsi="Calibri" w:cs="Calibri"/>
          <w:b/>
          <w:sz w:val="18"/>
          <w:szCs w:val="18"/>
          <w:u w:val="single"/>
          <w:lang w:eastAsia="zh-CN"/>
        </w:rPr>
        <w:t>UE performs MDT only in registered SNPN</w:t>
      </w:r>
      <w:bookmarkEnd w:id="2"/>
      <w:r w:rsidRPr="00140636">
        <w:rPr>
          <w:rFonts w:ascii="Calibri" w:eastAsia="MS Mincho" w:hAnsi="Calibri" w:cs="Calibri"/>
          <w:b/>
          <w:sz w:val="18"/>
          <w:szCs w:val="18"/>
          <w:u w:val="single"/>
          <w:lang w:eastAsia="zh-CN"/>
        </w:rPr>
        <w:t>.</w:t>
      </w:r>
    </w:p>
    <w:p w14:paraId="78D30B04" w14:textId="77777777" w:rsidR="00774CC9" w:rsidRDefault="00774CC9" w:rsidP="00CD4C7B">
      <w:pPr>
        <w:pStyle w:val="00BodyText"/>
        <w:spacing w:after="0"/>
        <w:rPr>
          <w:rFonts w:ascii="Times New Roman" w:hAnsi="Times New Roman"/>
          <w:sz w:val="20"/>
          <w:lang w:val="en-GB"/>
        </w:rPr>
      </w:pPr>
    </w:p>
    <w:p w14:paraId="14BEEF8F" w14:textId="713DBE58" w:rsidR="00774CC9" w:rsidRDefault="00774CC9" w:rsidP="00CD4C7B">
      <w:pPr>
        <w:pStyle w:val="00BodyText"/>
        <w:spacing w:after="0"/>
        <w:rPr>
          <w:rFonts w:ascii="Times New Roman" w:hAnsi="Times New Roman"/>
          <w:sz w:val="20"/>
          <w:lang w:val="en-GB"/>
        </w:rPr>
      </w:pPr>
      <w:r>
        <w:rPr>
          <w:rFonts w:ascii="Times New Roman" w:hAnsi="Times New Roman"/>
          <w:sz w:val="20"/>
          <w:lang w:val="en-GB"/>
        </w:rPr>
        <w:t>Taken into account current absence of mobility support e.g. in inter-SNPN scenarios, it seems reasonable to agree that also MDT is limited to the registered SNPN in Rel-18. We still believe that RAN3 should take into account that supported mobility, and hence also MDT, may be enhanced in future releases.</w:t>
      </w:r>
    </w:p>
    <w:p w14:paraId="68BC181F" w14:textId="12F65BAB" w:rsidR="00774CC9" w:rsidRDefault="00774CC9" w:rsidP="00CD4C7B">
      <w:pPr>
        <w:pStyle w:val="00BodyText"/>
        <w:spacing w:after="0"/>
        <w:rPr>
          <w:rFonts w:ascii="Times New Roman" w:hAnsi="Times New Roman"/>
          <w:sz w:val="20"/>
          <w:lang w:val="en-GB"/>
        </w:rPr>
      </w:pPr>
    </w:p>
    <w:p w14:paraId="10277302" w14:textId="3C8A8DF7" w:rsidR="00774CC9" w:rsidRPr="00774CC9" w:rsidRDefault="00774CC9" w:rsidP="00CD4C7B">
      <w:pPr>
        <w:pStyle w:val="00BodyText"/>
        <w:spacing w:after="0"/>
        <w:rPr>
          <w:rFonts w:ascii="Times New Roman" w:hAnsi="Times New Roman"/>
          <w:b/>
          <w:bCs/>
          <w:sz w:val="20"/>
          <w:lang w:val="en-GB"/>
        </w:rPr>
      </w:pPr>
      <w:r w:rsidRPr="00774CC9">
        <w:rPr>
          <w:rFonts w:ascii="Times New Roman" w:hAnsi="Times New Roman"/>
          <w:b/>
          <w:bCs/>
          <w:sz w:val="20"/>
          <w:lang w:val="en-GB"/>
        </w:rPr>
        <w:t xml:space="preserve">Proposal 1: Agree that the UE performs MDT only in registered SNPN in Rel-18, </w:t>
      </w:r>
      <w:r w:rsidR="00495A26">
        <w:rPr>
          <w:rFonts w:ascii="Times New Roman" w:hAnsi="Times New Roman"/>
          <w:b/>
          <w:bCs/>
          <w:sz w:val="20"/>
          <w:lang w:val="en-GB"/>
        </w:rPr>
        <w:t>but not prevent</w:t>
      </w:r>
      <w:r w:rsidRPr="00774CC9">
        <w:rPr>
          <w:rFonts w:ascii="Times New Roman" w:hAnsi="Times New Roman"/>
          <w:b/>
          <w:bCs/>
          <w:sz w:val="20"/>
          <w:lang w:val="en-GB"/>
        </w:rPr>
        <w:t xml:space="preserve"> enhanced support in future releases.</w:t>
      </w:r>
    </w:p>
    <w:p w14:paraId="5205E088" w14:textId="4683ACEE" w:rsidR="00774CC9" w:rsidRDefault="00774CC9" w:rsidP="00CD4C7B">
      <w:pPr>
        <w:pStyle w:val="00BodyText"/>
        <w:spacing w:after="0"/>
        <w:rPr>
          <w:rFonts w:ascii="Times New Roman" w:hAnsi="Times New Roman"/>
          <w:sz w:val="20"/>
          <w:lang w:val="en-GB"/>
        </w:rPr>
      </w:pPr>
    </w:p>
    <w:p w14:paraId="360AA8BF" w14:textId="77777777" w:rsidR="0069113F" w:rsidRDefault="00495A26" w:rsidP="00495A26">
      <w:pPr>
        <w:pStyle w:val="00BodyText"/>
        <w:spacing w:after="0"/>
        <w:rPr>
          <w:rFonts w:ascii="Calibri" w:eastAsia="MS Mincho" w:hAnsi="Calibri" w:cs="Calibri"/>
          <w:b/>
          <w:sz w:val="18"/>
          <w:szCs w:val="18"/>
          <w:u w:val="single"/>
          <w:lang w:eastAsia="zh-CN"/>
        </w:rPr>
      </w:pPr>
      <w:r w:rsidRPr="00140636">
        <w:rPr>
          <w:rFonts w:ascii="Calibri" w:eastAsia="MS Mincho" w:hAnsi="Calibri" w:cs="Calibri"/>
          <w:b/>
          <w:sz w:val="18"/>
          <w:szCs w:val="18"/>
          <w:u w:val="single"/>
          <w:lang w:eastAsia="zh-CN"/>
        </w:rPr>
        <w:t>FFS whether UE stores or discards the collected SON/MDT measurements upon moving outside the registered SNPN.</w:t>
      </w:r>
      <w:r w:rsidR="0069113F">
        <w:rPr>
          <w:rFonts w:ascii="Calibri" w:eastAsia="MS Mincho" w:hAnsi="Calibri" w:cs="Calibri"/>
          <w:b/>
          <w:sz w:val="18"/>
          <w:szCs w:val="18"/>
          <w:u w:val="single"/>
          <w:lang w:eastAsia="zh-CN"/>
        </w:rPr>
        <w:t xml:space="preserve"> </w:t>
      </w:r>
    </w:p>
    <w:p w14:paraId="6F94AE2F" w14:textId="4185689A" w:rsidR="00495A26" w:rsidRPr="00495A26" w:rsidRDefault="0069113F" w:rsidP="00495A26">
      <w:pPr>
        <w:pStyle w:val="00BodyText"/>
        <w:spacing w:after="0"/>
        <w:rPr>
          <w:rFonts w:ascii="Calibri" w:eastAsia="MS Mincho" w:hAnsi="Calibri" w:cs="Calibri"/>
          <w:b/>
          <w:sz w:val="18"/>
          <w:szCs w:val="18"/>
          <w:u w:val="single"/>
          <w:lang w:eastAsia="zh-CN"/>
        </w:rPr>
      </w:pPr>
      <w:r w:rsidRPr="0069113F">
        <w:rPr>
          <w:rFonts w:ascii="Calibri" w:eastAsia="MS Mincho" w:hAnsi="Calibri" w:cs="Calibri"/>
          <w:b/>
          <w:sz w:val="18"/>
          <w:szCs w:val="18"/>
          <w:u w:val="single"/>
          <w:lang w:eastAsia="zh-CN"/>
        </w:rPr>
        <w:t>Whether there is need to address the potential loss of SON/logged MDT reports upon mobility outside SNPN can be further discussed.</w:t>
      </w:r>
    </w:p>
    <w:p w14:paraId="70A14DC0" w14:textId="77777777" w:rsidR="00495A26" w:rsidRDefault="00495A26" w:rsidP="00CD4C7B">
      <w:pPr>
        <w:pStyle w:val="00BodyText"/>
        <w:spacing w:after="0"/>
        <w:rPr>
          <w:rFonts w:ascii="Times New Roman" w:hAnsi="Times New Roman"/>
          <w:sz w:val="20"/>
          <w:lang w:val="en-GB"/>
        </w:rPr>
      </w:pPr>
    </w:p>
    <w:p w14:paraId="448DF30A" w14:textId="51F88831" w:rsidR="00774CC9" w:rsidRDefault="00495A26" w:rsidP="00CD4C7B">
      <w:pPr>
        <w:pStyle w:val="00BodyText"/>
        <w:spacing w:after="0"/>
        <w:rPr>
          <w:rFonts w:ascii="Times New Roman" w:hAnsi="Times New Roman"/>
          <w:sz w:val="20"/>
          <w:lang w:val="en-GB"/>
        </w:rPr>
      </w:pPr>
      <w:r>
        <w:rPr>
          <w:rFonts w:ascii="Times New Roman" w:hAnsi="Times New Roman"/>
          <w:sz w:val="20"/>
          <w:lang w:val="en-GB"/>
        </w:rPr>
        <w:t>From network point of view</w:t>
      </w:r>
      <w:r w:rsidR="0069113F">
        <w:rPr>
          <w:rFonts w:ascii="Times New Roman" w:hAnsi="Times New Roman"/>
          <w:sz w:val="20"/>
          <w:lang w:val="en-GB"/>
        </w:rPr>
        <w:t>,</w:t>
      </w:r>
      <w:r>
        <w:rPr>
          <w:rFonts w:ascii="Times New Roman" w:hAnsi="Times New Roman"/>
          <w:sz w:val="20"/>
          <w:lang w:val="en-GB"/>
        </w:rPr>
        <w:t xml:space="preserve"> it seems beneficial that </w:t>
      </w:r>
      <w:r w:rsidRPr="00495A26">
        <w:rPr>
          <w:rFonts w:ascii="Times New Roman" w:hAnsi="Times New Roman"/>
          <w:sz w:val="20"/>
          <w:lang w:val="en-GB"/>
        </w:rPr>
        <w:t xml:space="preserve">SON </w:t>
      </w:r>
      <w:r w:rsidR="004302DE">
        <w:rPr>
          <w:rFonts w:ascii="Times New Roman" w:hAnsi="Times New Roman"/>
          <w:sz w:val="20"/>
          <w:lang w:val="en-GB"/>
        </w:rPr>
        <w:t>reports and logged MDT reports are kept in the UE</w:t>
      </w:r>
      <w:r>
        <w:rPr>
          <w:rFonts w:ascii="Times New Roman" w:hAnsi="Times New Roman"/>
          <w:sz w:val="20"/>
          <w:lang w:val="en-GB"/>
        </w:rPr>
        <w:t xml:space="preserve"> </w:t>
      </w:r>
      <w:r w:rsidR="004302DE">
        <w:rPr>
          <w:rFonts w:ascii="Times New Roman" w:hAnsi="Times New Roman"/>
          <w:sz w:val="20"/>
          <w:lang w:val="en-GB"/>
        </w:rPr>
        <w:t xml:space="preserve">when it moves outside the registered SNPN, so that they can be retrieved when the UE again connects to the SNPN. However UE impact needs to be considered by RAN2, and </w:t>
      </w:r>
      <w:r w:rsidR="00140636">
        <w:rPr>
          <w:rFonts w:ascii="Times New Roman" w:hAnsi="Times New Roman"/>
          <w:sz w:val="20"/>
          <w:lang w:val="en-GB"/>
        </w:rPr>
        <w:t xml:space="preserve">RAN2 should also check </w:t>
      </w:r>
      <w:r w:rsidR="004302DE">
        <w:rPr>
          <w:rFonts w:ascii="Times New Roman" w:hAnsi="Times New Roman"/>
          <w:sz w:val="20"/>
          <w:lang w:val="en-GB"/>
        </w:rPr>
        <w:t>potential implications in case of support of enhanced SNPN mobility in future releases.</w:t>
      </w:r>
    </w:p>
    <w:p w14:paraId="3437A7A3" w14:textId="5626D4FB" w:rsidR="00140636" w:rsidRDefault="00140636" w:rsidP="00CD4C7B">
      <w:pPr>
        <w:pStyle w:val="00BodyText"/>
        <w:spacing w:after="0"/>
        <w:rPr>
          <w:rFonts w:ascii="Times New Roman" w:hAnsi="Times New Roman"/>
          <w:sz w:val="20"/>
          <w:lang w:val="en-GB"/>
        </w:rPr>
      </w:pPr>
    </w:p>
    <w:p w14:paraId="2AC586F0" w14:textId="4D60C5FB" w:rsidR="00140636" w:rsidRPr="00140636" w:rsidRDefault="00140636" w:rsidP="00CD4C7B">
      <w:pPr>
        <w:pStyle w:val="00BodyText"/>
        <w:spacing w:after="0"/>
        <w:rPr>
          <w:rFonts w:ascii="Times New Roman" w:hAnsi="Times New Roman"/>
          <w:b/>
          <w:bCs/>
          <w:sz w:val="20"/>
          <w:lang w:val="en-GB"/>
        </w:rPr>
      </w:pPr>
      <w:r w:rsidRPr="00140636">
        <w:rPr>
          <w:rFonts w:ascii="Times New Roman" w:hAnsi="Times New Roman"/>
          <w:b/>
          <w:bCs/>
          <w:sz w:val="20"/>
          <w:lang w:val="en-GB"/>
        </w:rPr>
        <w:t>Proposal 2: Send LS to RAN2 to check UE impact including feasibility for storage of SON reports and logged MDT reports in the UE when it moves outside the registered SNPN.</w:t>
      </w:r>
    </w:p>
    <w:p w14:paraId="303D0813" w14:textId="306B9E44" w:rsidR="00774CC9" w:rsidRDefault="00774CC9" w:rsidP="00CD4C7B">
      <w:pPr>
        <w:pStyle w:val="00BodyText"/>
        <w:spacing w:after="0"/>
        <w:rPr>
          <w:rFonts w:ascii="Times New Roman" w:hAnsi="Times New Roman"/>
          <w:sz w:val="20"/>
          <w:lang w:val="en-GB"/>
        </w:rPr>
      </w:pPr>
    </w:p>
    <w:p w14:paraId="2BA3569E" w14:textId="04C9EFFB" w:rsidR="00774CC9" w:rsidRPr="00140636" w:rsidRDefault="00140636" w:rsidP="00CD4C7B">
      <w:pPr>
        <w:pStyle w:val="00BodyText"/>
        <w:spacing w:after="0"/>
        <w:rPr>
          <w:rFonts w:ascii="Calibri" w:eastAsia="MS Mincho" w:hAnsi="Calibri" w:cs="Calibri"/>
          <w:b/>
          <w:sz w:val="18"/>
          <w:szCs w:val="18"/>
          <w:u w:val="single"/>
          <w:lang w:eastAsia="zh-CN"/>
        </w:rPr>
      </w:pPr>
      <w:r w:rsidRPr="00140636">
        <w:rPr>
          <w:rFonts w:ascii="Calibri" w:eastAsia="MS Mincho" w:hAnsi="Calibri" w:cs="Calibri" w:hint="eastAsia"/>
          <w:b/>
          <w:sz w:val="18"/>
          <w:szCs w:val="18"/>
          <w:u w:val="single"/>
          <w:lang w:eastAsia="zh-CN"/>
        </w:rPr>
        <w:t>Whether PN UEs are allowed to be configured with NPN frequencies for MDT data collection of Neighbour Cells.</w:t>
      </w:r>
    </w:p>
    <w:p w14:paraId="7960B363" w14:textId="7E6DD061" w:rsidR="00774CC9" w:rsidRDefault="00140636" w:rsidP="00CD4C7B">
      <w:pPr>
        <w:pStyle w:val="00BodyText"/>
        <w:spacing w:after="0"/>
        <w:rPr>
          <w:rFonts w:ascii="Times New Roman" w:hAnsi="Times New Roman"/>
          <w:sz w:val="20"/>
          <w:lang w:val="en-GB"/>
        </w:rPr>
      </w:pPr>
      <w:r>
        <w:rPr>
          <w:rFonts w:ascii="Times New Roman" w:hAnsi="Times New Roman"/>
          <w:sz w:val="20"/>
          <w:lang w:val="en-GB"/>
        </w:rPr>
        <w:t>We believe that the open point relates to SNPN only (for PNI-NPN we believe that the question depends on the PLMN's deployment choices). In current situation without mobility between PN and SNPN (or between SNPNs), we don't see why a PN UE should be configured to measure SNPN frequencies.</w:t>
      </w:r>
    </w:p>
    <w:p w14:paraId="50E2B094" w14:textId="77777777" w:rsidR="00774CC9" w:rsidRDefault="00774CC9" w:rsidP="00CD4C7B">
      <w:pPr>
        <w:pStyle w:val="00BodyText"/>
        <w:spacing w:after="0"/>
        <w:rPr>
          <w:rFonts w:ascii="Times New Roman" w:hAnsi="Times New Roman"/>
          <w:sz w:val="20"/>
          <w:lang w:val="en-GB"/>
        </w:rPr>
      </w:pPr>
    </w:p>
    <w:p w14:paraId="5940D68E" w14:textId="141B783D" w:rsidR="00774CC9" w:rsidRPr="00140636" w:rsidRDefault="00140636" w:rsidP="00CD4C7B">
      <w:pPr>
        <w:pStyle w:val="00BodyText"/>
        <w:spacing w:after="0"/>
        <w:rPr>
          <w:rFonts w:ascii="Times New Roman" w:hAnsi="Times New Roman"/>
          <w:b/>
          <w:bCs/>
          <w:sz w:val="20"/>
          <w:lang w:val="en-GB"/>
        </w:rPr>
      </w:pPr>
      <w:r w:rsidRPr="00140636">
        <w:rPr>
          <w:rFonts w:ascii="Times New Roman" w:hAnsi="Times New Roman"/>
          <w:b/>
          <w:bCs/>
          <w:sz w:val="20"/>
          <w:lang w:val="en-GB"/>
        </w:rPr>
        <w:t>Proposal 3: A PN UE doesn't need to measure NPN frequencies in Rel-18.</w:t>
      </w:r>
    </w:p>
    <w:p w14:paraId="7CE077F3" w14:textId="77777777" w:rsidR="00140636" w:rsidRDefault="00140636" w:rsidP="00CD4C7B">
      <w:pPr>
        <w:pStyle w:val="00BodyText"/>
        <w:spacing w:after="0"/>
        <w:rPr>
          <w:rFonts w:ascii="Times New Roman" w:hAnsi="Times New Roman"/>
          <w:sz w:val="20"/>
          <w:lang w:val="en-GB"/>
        </w:rPr>
      </w:pPr>
    </w:p>
    <w:p w14:paraId="24E2625E" w14:textId="05FCE474" w:rsidR="0069113F" w:rsidRPr="0069113F" w:rsidRDefault="0069113F" w:rsidP="00CD4C7B">
      <w:pPr>
        <w:pStyle w:val="00BodyText"/>
        <w:spacing w:after="0"/>
        <w:rPr>
          <w:rFonts w:ascii="Calibri" w:eastAsia="MS Mincho" w:hAnsi="Calibri" w:cs="Calibri"/>
          <w:b/>
          <w:sz w:val="18"/>
          <w:szCs w:val="18"/>
          <w:u w:val="single"/>
          <w:lang w:eastAsia="zh-CN"/>
        </w:rPr>
      </w:pPr>
      <w:r w:rsidRPr="0069113F">
        <w:rPr>
          <w:rFonts w:ascii="Calibri" w:eastAsia="MS Mincho" w:hAnsi="Calibri" w:cs="Calibri" w:hint="eastAsia"/>
          <w:b/>
          <w:sz w:val="18"/>
          <w:szCs w:val="18"/>
          <w:u w:val="single"/>
          <w:lang w:eastAsia="zh-CN"/>
        </w:rPr>
        <w:t xml:space="preserve">Whether a UHI containing PNI-NPN should be disclosed to a public network </w:t>
      </w:r>
      <w:r w:rsidRPr="0069113F">
        <w:rPr>
          <w:rFonts w:ascii="Calibri" w:eastAsia="MS Mincho" w:hAnsi="Calibri" w:cs="Calibri"/>
          <w:b/>
          <w:sz w:val="18"/>
          <w:szCs w:val="18"/>
          <w:u w:val="single"/>
          <w:lang w:eastAsia="zh-CN"/>
        </w:rPr>
        <w:t>can be further discussed</w:t>
      </w:r>
      <w:r w:rsidRPr="0069113F">
        <w:rPr>
          <w:rFonts w:ascii="Calibri" w:eastAsia="MS Mincho" w:hAnsi="Calibri" w:cs="Calibri" w:hint="eastAsia"/>
          <w:b/>
          <w:sz w:val="18"/>
          <w:szCs w:val="18"/>
          <w:u w:val="single"/>
          <w:lang w:eastAsia="zh-CN"/>
        </w:rPr>
        <w:t>.</w:t>
      </w:r>
    </w:p>
    <w:p w14:paraId="51D4D78F" w14:textId="0BE94447" w:rsidR="0069113F" w:rsidRDefault="0069113F" w:rsidP="00CD4C7B">
      <w:pPr>
        <w:pStyle w:val="00BodyText"/>
        <w:spacing w:after="0"/>
        <w:rPr>
          <w:rFonts w:ascii="Times New Roman" w:hAnsi="Times New Roman"/>
          <w:sz w:val="20"/>
          <w:lang w:val="en-GB"/>
        </w:rPr>
      </w:pPr>
      <w:r w:rsidRPr="0069113F">
        <w:rPr>
          <w:rFonts w:ascii="Times New Roman" w:hAnsi="Times New Roman"/>
          <w:sz w:val="20"/>
          <w:lang w:val="en-GB"/>
        </w:rPr>
        <w:t xml:space="preserve">We </w:t>
      </w:r>
      <w:r>
        <w:rPr>
          <w:rFonts w:ascii="Times New Roman" w:hAnsi="Times New Roman"/>
          <w:sz w:val="20"/>
          <w:lang w:val="en-GB"/>
        </w:rPr>
        <w:t>don't believe there is any reason to provide particular handling of PNI-NPN information in UHI. We still don't exclude a need to further check restrictions for upload of UHI in inter-PLMN scenario in general.</w:t>
      </w:r>
    </w:p>
    <w:p w14:paraId="0EED080D" w14:textId="365A8D4D" w:rsidR="0069113F" w:rsidRDefault="0069113F" w:rsidP="00CD4C7B">
      <w:pPr>
        <w:pStyle w:val="00BodyText"/>
        <w:spacing w:after="0"/>
        <w:rPr>
          <w:rFonts w:ascii="Times New Roman" w:hAnsi="Times New Roman"/>
          <w:sz w:val="20"/>
          <w:lang w:val="en-GB"/>
        </w:rPr>
      </w:pPr>
    </w:p>
    <w:p w14:paraId="4AEB8DC0" w14:textId="0EEA85BE" w:rsidR="0069113F" w:rsidRPr="0069113F" w:rsidRDefault="0069113F" w:rsidP="00CD4C7B">
      <w:pPr>
        <w:pStyle w:val="00BodyText"/>
        <w:spacing w:after="0"/>
        <w:rPr>
          <w:rFonts w:ascii="Times New Roman" w:hAnsi="Times New Roman"/>
          <w:b/>
          <w:bCs/>
          <w:sz w:val="20"/>
          <w:lang w:val="en-GB"/>
        </w:rPr>
      </w:pPr>
      <w:r w:rsidRPr="0069113F">
        <w:rPr>
          <w:rFonts w:ascii="Times New Roman" w:hAnsi="Times New Roman"/>
          <w:b/>
          <w:bCs/>
          <w:sz w:val="20"/>
          <w:lang w:val="en-GB"/>
        </w:rPr>
        <w:t>Proposal 4: Particular handling of PNI-NPN information in UHI is not needed.</w:t>
      </w:r>
    </w:p>
    <w:p w14:paraId="56198FDB" w14:textId="2DB0A97D" w:rsidR="0069113F" w:rsidRDefault="0069113F" w:rsidP="00CD4C7B">
      <w:pPr>
        <w:pStyle w:val="00BodyText"/>
        <w:spacing w:after="0"/>
        <w:rPr>
          <w:rFonts w:ascii="Times New Roman" w:hAnsi="Times New Roman"/>
          <w:sz w:val="20"/>
          <w:lang w:val="en-GB"/>
        </w:rPr>
      </w:pPr>
    </w:p>
    <w:p w14:paraId="050B67DE" w14:textId="77777777" w:rsidR="0067198F" w:rsidRPr="0067198F" w:rsidRDefault="0067198F" w:rsidP="0067198F">
      <w:pPr>
        <w:pStyle w:val="00BodyText"/>
        <w:spacing w:after="0"/>
        <w:rPr>
          <w:rFonts w:ascii="Calibri" w:eastAsia="MS Mincho" w:hAnsi="Calibri" w:cs="Calibri"/>
          <w:b/>
          <w:sz w:val="18"/>
          <w:szCs w:val="18"/>
          <w:u w:val="single"/>
          <w:lang w:eastAsia="zh-CN"/>
        </w:rPr>
      </w:pPr>
      <w:r w:rsidRPr="0067198F">
        <w:rPr>
          <w:rFonts w:ascii="Calibri" w:eastAsia="MS Mincho" w:hAnsi="Calibri" w:cs="Calibri" w:hint="eastAsia"/>
          <w:b/>
          <w:sz w:val="18"/>
          <w:szCs w:val="18"/>
          <w:u w:val="single"/>
          <w:lang w:eastAsia="zh-CN"/>
        </w:rPr>
        <w:t>Whether existing Trace Reference is sufficient could be further discussed.</w:t>
      </w:r>
    </w:p>
    <w:p w14:paraId="33106C06" w14:textId="1743E401" w:rsidR="0067198F" w:rsidRDefault="0067198F" w:rsidP="00CD4C7B">
      <w:pPr>
        <w:pStyle w:val="00BodyText"/>
        <w:spacing w:after="0"/>
        <w:rPr>
          <w:rFonts w:ascii="Times New Roman" w:hAnsi="Times New Roman"/>
          <w:sz w:val="20"/>
          <w:lang w:val="en-GB"/>
        </w:rPr>
      </w:pPr>
      <w:r>
        <w:rPr>
          <w:rFonts w:ascii="Times New Roman" w:hAnsi="Times New Roman"/>
          <w:sz w:val="20"/>
          <w:lang w:val="en-GB"/>
        </w:rPr>
        <w:t>We believe SA5 would need to discuss the need for inclusion of Network ID in Trace Reference for MDT in SNPN, and RAN3 could send an LS to SA5 with this question. (The same question would apply to QoE Reference for QMC in SNPN, but that is not within the scope of the present work item).</w:t>
      </w:r>
    </w:p>
    <w:p w14:paraId="43783125" w14:textId="77777777" w:rsidR="0067198F" w:rsidRDefault="0067198F" w:rsidP="00CD4C7B">
      <w:pPr>
        <w:pStyle w:val="00BodyText"/>
        <w:spacing w:after="0"/>
        <w:rPr>
          <w:rFonts w:ascii="Times New Roman" w:hAnsi="Times New Roman"/>
          <w:sz w:val="20"/>
          <w:lang w:val="en-GB"/>
        </w:rPr>
      </w:pPr>
    </w:p>
    <w:p w14:paraId="6D62ED95" w14:textId="04FF18FF" w:rsidR="0069113F" w:rsidRPr="004B523C" w:rsidRDefault="0067198F" w:rsidP="00CD4C7B">
      <w:pPr>
        <w:pStyle w:val="00BodyText"/>
        <w:spacing w:after="0"/>
        <w:rPr>
          <w:rFonts w:ascii="Times New Roman" w:hAnsi="Times New Roman"/>
          <w:b/>
          <w:bCs/>
          <w:sz w:val="20"/>
          <w:lang w:val="en-GB"/>
        </w:rPr>
      </w:pPr>
      <w:r w:rsidRPr="004B523C">
        <w:rPr>
          <w:rFonts w:ascii="Times New Roman" w:hAnsi="Times New Roman"/>
          <w:b/>
          <w:bCs/>
          <w:sz w:val="20"/>
          <w:lang w:val="en-GB"/>
        </w:rPr>
        <w:lastRenderedPageBreak/>
        <w:t xml:space="preserve">Proposal 5: RAN3 to send an LS to SA5 asking for </w:t>
      </w:r>
      <w:r w:rsidR="004B523C" w:rsidRPr="004B523C">
        <w:rPr>
          <w:rFonts w:ascii="Times New Roman" w:hAnsi="Times New Roman"/>
          <w:b/>
          <w:bCs/>
          <w:sz w:val="20"/>
          <w:lang w:val="en-GB"/>
        </w:rPr>
        <w:t>whether there is a need to include Network ID in Trace Reference for MDT in SNPN.</w:t>
      </w:r>
    </w:p>
    <w:p w14:paraId="34FFEA47" w14:textId="58CB688E" w:rsidR="0067198F" w:rsidRDefault="0067198F"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68EF7C9F" w:rsidR="00CD4C7B" w:rsidRPr="006E13D1" w:rsidRDefault="000D710C" w:rsidP="00CD4C7B">
      <w:r>
        <w:t>We have made the following proposals:</w:t>
      </w:r>
    </w:p>
    <w:p w14:paraId="1DD4FB92" w14:textId="44E9042F" w:rsidR="00CD4C7B" w:rsidRDefault="000D710C" w:rsidP="000D710C">
      <w:pPr>
        <w:pStyle w:val="00BodyText"/>
        <w:spacing w:after="0"/>
        <w:rPr>
          <w:rFonts w:ascii="Times New Roman" w:hAnsi="Times New Roman"/>
          <w:b/>
          <w:bCs/>
          <w:sz w:val="20"/>
          <w:lang w:val="en-GB"/>
        </w:rPr>
      </w:pPr>
      <w:r w:rsidRPr="00774CC9">
        <w:rPr>
          <w:rFonts w:ascii="Times New Roman" w:hAnsi="Times New Roman"/>
          <w:b/>
          <w:bCs/>
          <w:sz w:val="20"/>
          <w:lang w:val="en-GB"/>
        </w:rPr>
        <w:t xml:space="preserve">Proposal 1: Agree that the UE performs MDT only in registered SNPN in Rel-18, </w:t>
      </w:r>
      <w:r>
        <w:rPr>
          <w:rFonts w:ascii="Times New Roman" w:hAnsi="Times New Roman"/>
          <w:b/>
          <w:bCs/>
          <w:sz w:val="20"/>
          <w:lang w:val="en-GB"/>
        </w:rPr>
        <w:t>but not prevent</w:t>
      </w:r>
      <w:r w:rsidRPr="00774CC9">
        <w:rPr>
          <w:rFonts w:ascii="Times New Roman" w:hAnsi="Times New Roman"/>
          <w:b/>
          <w:bCs/>
          <w:sz w:val="20"/>
          <w:lang w:val="en-GB"/>
        </w:rPr>
        <w:t xml:space="preserve"> enhanced support in future releases.</w:t>
      </w:r>
    </w:p>
    <w:p w14:paraId="3A525DB6" w14:textId="77777777" w:rsidR="000D710C" w:rsidRDefault="000D710C" w:rsidP="000D710C">
      <w:pPr>
        <w:pStyle w:val="00BodyText"/>
        <w:spacing w:after="0"/>
      </w:pPr>
    </w:p>
    <w:p w14:paraId="32820143" w14:textId="04E1D268" w:rsidR="000D710C" w:rsidRDefault="000D710C" w:rsidP="000D710C">
      <w:pPr>
        <w:pStyle w:val="00BodyText"/>
        <w:spacing w:after="0"/>
        <w:rPr>
          <w:rFonts w:ascii="Times New Roman" w:hAnsi="Times New Roman"/>
          <w:b/>
          <w:bCs/>
          <w:sz w:val="20"/>
          <w:lang w:val="en-GB"/>
        </w:rPr>
      </w:pPr>
      <w:r w:rsidRPr="00140636">
        <w:rPr>
          <w:rFonts w:ascii="Times New Roman" w:hAnsi="Times New Roman"/>
          <w:b/>
          <w:bCs/>
          <w:sz w:val="20"/>
          <w:lang w:val="en-GB"/>
        </w:rPr>
        <w:t>Proposal 2: Send LS to RAN2 to check UE impact including feasibility for storage of SON reports and logged MDT reports in the UE when it moves outside the registered SNPN.</w:t>
      </w:r>
    </w:p>
    <w:p w14:paraId="6651979A" w14:textId="6331D525" w:rsidR="000D710C" w:rsidRDefault="000D710C" w:rsidP="000D710C">
      <w:pPr>
        <w:pStyle w:val="00BodyText"/>
        <w:spacing w:after="0"/>
        <w:rPr>
          <w:rFonts w:ascii="Times New Roman" w:hAnsi="Times New Roman"/>
          <w:b/>
          <w:bCs/>
          <w:sz w:val="20"/>
          <w:lang w:val="en-GB"/>
        </w:rPr>
      </w:pPr>
    </w:p>
    <w:p w14:paraId="45C7252A" w14:textId="77777777" w:rsidR="000D710C" w:rsidRPr="00140636" w:rsidRDefault="000D710C" w:rsidP="000D710C">
      <w:pPr>
        <w:pStyle w:val="00BodyText"/>
        <w:spacing w:after="0"/>
        <w:rPr>
          <w:rFonts w:ascii="Times New Roman" w:hAnsi="Times New Roman"/>
          <w:b/>
          <w:bCs/>
          <w:sz w:val="20"/>
          <w:lang w:val="en-GB"/>
        </w:rPr>
      </w:pPr>
      <w:r w:rsidRPr="00140636">
        <w:rPr>
          <w:rFonts w:ascii="Times New Roman" w:hAnsi="Times New Roman"/>
          <w:b/>
          <w:bCs/>
          <w:sz w:val="20"/>
          <w:lang w:val="en-GB"/>
        </w:rPr>
        <w:t>Proposal 3: A PN UE doesn't need to measure NPN frequencies in Rel-18.</w:t>
      </w:r>
    </w:p>
    <w:p w14:paraId="09CAE35B" w14:textId="14F7C6FF" w:rsidR="000D710C" w:rsidRDefault="000D710C" w:rsidP="000D710C">
      <w:pPr>
        <w:pStyle w:val="00BodyText"/>
        <w:spacing w:after="0"/>
        <w:rPr>
          <w:rFonts w:ascii="Times New Roman" w:hAnsi="Times New Roman"/>
          <w:b/>
          <w:bCs/>
          <w:sz w:val="20"/>
          <w:lang w:val="en-GB"/>
        </w:rPr>
      </w:pPr>
    </w:p>
    <w:p w14:paraId="2C8D29EE" w14:textId="77777777" w:rsidR="000D710C" w:rsidRPr="0069113F" w:rsidRDefault="000D710C" w:rsidP="000D710C">
      <w:pPr>
        <w:pStyle w:val="00BodyText"/>
        <w:spacing w:after="0"/>
        <w:rPr>
          <w:rFonts w:ascii="Times New Roman" w:hAnsi="Times New Roman"/>
          <w:b/>
          <w:bCs/>
          <w:sz w:val="20"/>
          <w:lang w:val="en-GB"/>
        </w:rPr>
      </w:pPr>
      <w:r w:rsidRPr="0069113F">
        <w:rPr>
          <w:rFonts w:ascii="Times New Roman" w:hAnsi="Times New Roman"/>
          <w:b/>
          <w:bCs/>
          <w:sz w:val="20"/>
          <w:lang w:val="en-GB"/>
        </w:rPr>
        <w:t>Proposal 4: Particular handling of PNI-NPN information in UHI is not needed.</w:t>
      </w:r>
    </w:p>
    <w:p w14:paraId="0099CF80" w14:textId="02B8DFEB" w:rsidR="000D710C" w:rsidRDefault="000D710C" w:rsidP="000D710C">
      <w:pPr>
        <w:pStyle w:val="00BodyText"/>
        <w:spacing w:after="0"/>
        <w:rPr>
          <w:rFonts w:ascii="Times New Roman" w:hAnsi="Times New Roman"/>
          <w:b/>
          <w:bCs/>
          <w:sz w:val="20"/>
          <w:lang w:val="en-GB"/>
        </w:rPr>
      </w:pPr>
    </w:p>
    <w:p w14:paraId="189FD512" w14:textId="77777777" w:rsidR="000D710C" w:rsidRPr="004B523C" w:rsidRDefault="000D710C" w:rsidP="000D710C">
      <w:pPr>
        <w:pStyle w:val="00BodyText"/>
        <w:spacing w:after="0"/>
        <w:rPr>
          <w:rFonts w:ascii="Times New Roman" w:hAnsi="Times New Roman"/>
          <w:b/>
          <w:bCs/>
          <w:sz w:val="20"/>
          <w:lang w:val="en-GB"/>
        </w:rPr>
      </w:pPr>
      <w:r w:rsidRPr="004B523C">
        <w:rPr>
          <w:rFonts w:ascii="Times New Roman" w:hAnsi="Times New Roman"/>
          <w:b/>
          <w:bCs/>
          <w:sz w:val="20"/>
          <w:lang w:val="en-GB"/>
        </w:rPr>
        <w:t>Proposal 5: RAN3 to send an LS to SA5 asking for whether there is a need to include Network ID in Trace Reference for MDT in SNPN.</w:t>
      </w:r>
    </w:p>
    <w:p w14:paraId="0972EAA1" w14:textId="77777777" w:rsidR="000D710C" w:rsidRPr="00140636" w:rsidRDefault="000D710C" w:rsidP="000D710C">
      <w:pPr>
        <w:pStyle w:val="00BodyText"/>
        <w:spacing w:after="0"/>
        <w:rPr>
          <w:rFonts w:ascii="Times New Roman" w:hAnsi="Times New Roman"/>
          <w:b/>
          <w:bCs/>
          <w:sz w:val="20"/>
          <w:lang w:val="en-GB"/>
        </w:rPr>
      </w:pPr>
    </w:p>
    <w:p w14:paraId="624C984F" w14:textId="77777777" w:rsidR="000D710C" w:rsidRPr="006E13D1" w:rsidRDefault="000D710C"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4CF26" w14:textId="77777777" w:rsidR="00E96CEA" w:rsidRDefault="00E96CEA">
      <w:r>
        <w:separator/>
      </w:r>
    </w:p>
  </w:endnote>
  <w:endnote w:type="continuationSeparator" w:id="0">
    <w:p w14:paraId="59FC9D2E" w14:textId="77777777" w:rsidR="00E96CEA" w:rsidRDefault="00E96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A324F" w14:textId="77777777" w:rsidR="00E96CEA" w:rsidRDefault="00E96CEA">
      <w:r>
        <w:separator/>
      </w:r>
    </w:p>
  </w:footnote>
  <w:footnote w:type="continuationSeparator" w:id="0">
    <w:p w14:paraId="667CDB30" w14:textId="77777777" w:rsidR="00E96CEA" w:rsidRDefault="00E96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5217D"/>
    <w:multiLevelType w:val="hybridMultilevel"/>
    <w:tmpl w:val="F25E9E3E"/>
    <w:lvl w:ilvl="0" w:tplc="39FE1934">
      <w:start w:val="1"/>
      <w:numFmt w:val="bullet"/>
      <w:lvlText w:val="-"/>
      <w:lvlJc w:val="left"/>
      <w:pPr>
        <w:tabs>
          <w:tab w:val="num" w:pos="720"/>
        </w:tabs>
        <w:ind w:left="720" w:hanging="360"/>
      </w:pPr>
      <w:rPr>
        <w:rFonts w:ascii="Lucida Grande" w:hAnsi="Lucida Grande" w:hint="default"/>
      </w:rPr>
    </w:lvl>
    <w:lvl w:ilvl="1" w:tplc="3086D118" w:tentative="1">
      <w:start w:val="1"/>
      <w:numFmt w:val="bullet"/>
      <w:lvlText w:val="-"/>
      <w:lvlJc w:val="left"/>
      <w:pPr>
        <w:tabs>
          <w:tab w:val="num" w:pos="1440"/>
        </w:tabs>
        <w:ind w:left="1440" w:hanging="360"/>
      </w:pPr>
      <w:rPr>
        <w:rFonts w:ascii="Lucida Grande" w:hAnsi="Lucida Grande" w:hint="default"/>
      </w:rPr>
    </w:lvl>
    <w:lvl w:ilvl="2" w:tplc="FF62FDB6" w:tentative="1">
      <w:start w:val="1"/>
      <w:numFmt w:val="bullet"/>
      <w:lvlText w:val="-"/>
      <w:lvlJc w:val="left"/>
      <w:pPr>
        <w:tabs>
          <w:tab w:val="num" w:pos="2160"/>
        </w:tabs>
        <w:ind w:left="2160" w:hanging="360"/>
      </w:pPr>
      <w:rPr>
        <w:rFonts w:ascii="Lucida Grande" w:hAnsi="Lucida Grande" w:hint="default"/>
      </w:rPr>
    </w:lvl>
    <w:lvl w:ilvl="3" w:tplc="DDE659C2">
      <w:start w:val="1"/>
      <w:numFmt w:val="bullet"/>
      <w:lvlText w:val="-"/>
      <w:lvlJc w:val="left"/>
      <w:pPr>
        <w:tabs>
          <w:tab w:val="num" w:pos="2880"/>
        </w:tabs>
        <w:ind w:left="2880" w:hanging="360"/>
      </w:pPr>
      <w:rPr>
        <w:rFonts w:ascii="Lucida Grande" w:hAnsi="Lucida Grande" w:hint="default"/>
      </w:rPr>
    </w:lvl>
    <w:lvl w:ilvl="4" w:tplc="BEE04940" w:tentative="1">
      <w:start w:val="1"/>
      <w:numFmt w:val="bullet"/>
      <w:lvlText w:val="-"/>
      <w:lvlJc w:val="left"/>
      <w:pPr>
        <w:tabs>
          <w:tab w:val="num" w:pos="3600"/>
        </w:tabs>
        <w:ind w:left="3600" w:hanging="360"/>
      </w:pPr>
      <w:rPr>
        <w:rFonts w:ascii="Lucida Grande" w:hAnsi="Lucida Grande" w:hint="default"/>
      </w:rPr>
    </w:lvl>
    <w:lvl w:ilvl="5" w:tplc="A9883C66" w:tentative="1">
      <w:start w:val="1"/>
      <w:numFmt w:val="bullet"/>
      <w:lvlText w:val="-"/>
      <w:lvlJc w:val="left"/>
      <w:pPr>
        <w:tabs>
          <w:tab w:val="num" w:pos="4320"/>
        </w:tabs>
        <w:ind w:left="4320" w:hanging="360"/>
      </w:pPr>
      <w:rPr>
        <w:rFonts w:ascii="Lucida Grande" w:hAnsi="Lucida Grande" w:hint="default"/>
      </w:rPr>
    </w:lvl>
    <w:lvl w:ilvl="6" w:tplc="9B3AA900" w:tentative="1">
      <w:start w:val="1"/>
      <w:numFmt w:val="bullet"/>
      <w:lvlText w:val="-"/>
      <w:lvlJc w:val="left"/>
      <w:pPr>
        <w:tabs>
          <w:tab w:val="num" w:pos="5040"/>
        </w:tabs>
        <w:ind w:left="5040" w:hanging="360"/>
      </w:pPr>
      <w:rPr>
        <w:rFonts w:ascii="Lucida Grande" w:hAnsi="Lucida Grande" w:hint="default"/>
      </w:rPr>
    </w:lvl>
    <w:lvl w:ilvl="7" w:tplc="FF1C6FB0" w:tentative="1">
      <w:start w:val="1"/>
      <w:numFmt w:val="bullet"/>
      <w:lvlText w:val="-"/>
      <w:lvlJc w:val="left"/>
      <w:pPr>
        <w:tabs>
          <w:tab w:val="num" w:pos="5760"/>
        </w:tabs>
        <w:ind w:left="5760" w:hanging="360"/>
      </w:pPr>
      <w:rPr>
        <w:rFonts w:ascii="Lucida Grande" w:hAnsi="Lucida Grande" w:hint="default"/>
      </w:rPr>
    </w:lvl>
    <w:lvl w:ilvl="8" w:tplc="19FAF540"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785C47"/>
    <w:multiLevelType w:val="hybridMultilevel"/>
    <w:tmpl w:val="91C480A8"/>
    <w:lvl w:ilvl="0" w:tplc="50EC01C4">
      <w:start w:val="1"/>
      <w:numFmt w:val="bullet"/>
      <w:lvlText w:val="-"/>
      <w:lvlJc w:val="left"/>
      <w:pPr>
        <w:tabs>
          <w:tab w:val="num" w:pos="720"/>
        </w:tabs>
        <w:ind w:left="720" w:hanging="360"/>
      </w:pPr>
      <w:rPr>
        <w:rFonts w:ascii="Lucida Grande" w:hAnsi="Lucida Grande" w:hint="default"/>
      </w:rPr>
    </w:lvl>
    <w:lvl w:ilvl="1" w:tplc="3C281866" w:tentative="1">
      <w:start w:val="1"/>
      <w:numFmt w:val="bullet"/>
      <w:lvlText w:val="-"/>
      <w:lvlJc w:val="left"/>
      <w:pPr>
        <w:tabs>
          <w:tab w:val="num" w:pos="1440"/>
        </w:tabs>
        <w:ind w:left="1440" w:hanging="360"/>
      </w:pPr>
      <w:rPr>
        <w:rFonts w:ascii="Lucida Grande" w:hAnsi="Lucida Grande" w:hint="default"/>
      </w:rPr>
    </w:lvl>
    <w:lvl w:ilvl="2" w:tplc="79DA43F8" w:tentative="1">
      <w:start w:val="1"/>
      <w:numFmt w:val="bullet"/>
      <w:lvlText w:val="-"/>
      <w:lvlJc w:val="left"/>
      <w:pPr>
        <w:tabs>
          <w:tab w:val="num" w:pos="2160"/>
        </w:tabs>
        <w:ind w:left="2160" w:hanging="360"/>
      </w:pPr>
      <w:rPr>
        <w:rFonts w:ascii="Lucida Grande" w:hAnsi="Lucida Grande" w:hint="default"/>
      </w:rPr>
    </w:lvl>
    <w:lvl w:ilvl="3" w:tplc="04C44EFA">
      <w:start w:val="1"/>
      <w:numFmt w:val="bullet"/>
      <w:lvlText w:val="-"/>
      <w:lvlJc w:val="left"/>
      <w:pPr>
        <w:tabs>
          <w:tab w:val="num" w:pos="2880"/>
        </w:tabs>
        <w:ind w:left="2880" w:hanging="360"/>
      </w:pPr>
      <w:rPr>
        <w:rFonts w:ascii="Lucida Grande" w:hAnsi="Lucida Grande" w:hint="default"/>
      </w:rPr>
    </w:lvl>
    <w:lvl w:ilvl="4" w:tplc="50A2D4F0" w:tentative="1">
      <w:start w:val="1"/>
      <w:numFmt w:val="bullet"/>
      <w:lvlText w:val="-"/>
      <w:lvlJc w:val="left"/>
      <w:pPr>
        <w:tabs>
          <w:tab w:val="num" w:pos="3600"/>
        </w:tabs>
        <w:ind w:left="3600" w:hanging="360"/>
      </w:pPr>
      <w:rPr>
        <w:rFonts w:ascii="Lucida Grande" w:hAnsi="Lucida Grande" w:hint="default"/>
      </w:rPr>
    </w:lvl>
    <w:lvl w:ilvl="5" w:tplc="B63A5F6C" w:tentative="1">
      <w:start w:val="1"/>
      <w:numFmt w:val="bullet"/>
      <w:lvlText w:val="-"/>
      <w:lvlJc w:val="left"/>
      <w:pPr>
        <w:tabs>
          <w:tab w:val="num" w:pos="4320"/>
        </w:tabs>
        <w:ind w:left="4320" w:hanging="360"/>
      </w:pPr>
      <w:rPr>
        <w:rFonts w:ascii="Lucida Grande" w:hAnsi="Lucida Grande" w:hint="default"/>
      </w:rPr>
    </w:lvl>
    <w:lvl w:ilvl="6" w:tplc="389ADA60" w:tentative="1">
      <w:start w:val="1"/>
      <w:numFmt w:val="bullet"/>
      <w:lvlText w:val="-"/>
      <w:lvlJc w:val="left"/>
      <w:pPr>
        <w:tabs>
          <w:tab w:val="num" w:pos="5040"/>
        </w:tabs>
        <w:ind w:left="5040" w:hanging="360"/>
      </w:pPr>
      <w:rPr>
        <w:rFonts w:ascii="Lucida Grande" w:hAnsi="Lucida Grande" w:hint="default"/>
      </w:rPr>
    </w:lvl>
    <w:lvl w:ilvl="7" w:tplc="288E28B6" w:tentative="1">
      <w:start w:val="1"/>
      <w:numFmt w:val="bullet"/>
      <w:lvlText w:val="-"/>
      <w:lvlJc w:val="left"/>
      <w:pPr>
        <w:tabs>
          <w:tab w:val="num" w:pos="5760"/>
        </w:tabs>
        <w:ind w:left="5760" w:hanging="360"/>
      </w:pPr>
      <w:rPr>
        <w:rFonts w:ascii="Lucida Grande" w:hAnsi="Lucida Grande" w:hint="default"/>
      </w:rPr>
    </w:lvl>
    <w:lvl w:ilvl="8" w:tplc="1F542BB2" w:tentative="1">
      <w:start w:val="1"/>
      <w:numFmt w:val="bullet"/>
      <w:lvlText w:val="-"/>
      <w:lvlJc w:val="left"/>
      <w:pPr>
        <w:tabs>
          <w:tab w:val="num" w:pos="6480"/>
        </w:tabs>
        <w:ind w:left="6480" w:hanging="360"/>
      </w:pPr>
      <w:rPr>
        <w:rFonts w:ascii="Lucida Grande" w:hAnsi="Lucida Grande"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45607"/>
    <w:rsid w:val="0005563E"/>
    <w:rsid w:val="00080512"/>
    <w:rsid w:val="00083F0D"/>
    <w:rsid w:val="000B7BCF"/>
    <w:rsid w:val="000C556D"/>
    <w:rsid w:val="000D376D"/>
    <w:rsid w:val="000D58AB"/>
    <w:rsid w:val="000D710C"/>
    <w:rsid w:val="001075B7"/>
    <w:rsid w:val="001370F2"/>
    <w:rsid w:val="00140636"/>
    <w:rsid w:val="001549DD"/>
    <w:rsid w:val="00194CD0"/>
    <w:rsid w:val="001B08B3"/>
    <w:rsid w:val="001C4281"/>
    <w:rsid w:val="001D0D3F"/>
    <w:rsid w:val="001E39D1"/>
    <w:rsid w:val="001F168B"/>
    <w:rsid w:val="001F70B7"/>
    <w:rsid w:val="00225F6D"/>
    <w:rsid w:val="0022606D"/>
    <w:rsid w:val="002305DD"/>
    <w:rsid w:val="00242C2A"/>
    <w:rsid w:val="00243BC7"/>
    <w:rsid w:val="002623FC"/>
    <w:rsid w:val="002747EC"/>
    <w:rsid w:val="002855BF"/>
    <w:rsid w:val="002953B2"/>
    <w:rsid w:val="002E1692"/>
    <w:rsid w:val="002F0D22"/>
    <w:rsid w:val="003172DC"/>
    <w:rsid w:val="00326069"/>
    <w:rsid w:val="003454FC"/>
    <w:rsid w:val="0035462D"/>
    <w:rsid w:val="00363177"/>
    <w:rsid w:val="003702F7"/>
    <w:rsid w:val="003B3FB3"/>
    <w:rsid w:val="003C4E37"/>
    <w:rsid w:val="003C7D6D"/>
    <w:rsid w:val="003E1194"/>
    <w:rsid w:val="003E16BE"/>
    <w:rsid w:val="003E7223"/>
    <w:rsid w:val="00401855"/>
    <w:rsid w:val="004302DE"/>
    <w:rsid w:val="00464695"/>
    <w:rsid w:val="00495A26"/>
    <w:rsid w:val="004B523C"/>
    <w:rsid w:val="004C5539"/>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CE2"/>
    <w:rsid w:val="005A27D5"/>
    <w:rsid w:val="005A4971"/>
    <w:rsid w:val="005B1232"/>
    <w:rsid w:val="005B2EEF"/>
    <w:rsid w:val="005D4274"/>
    <w:rsid w:val="00605E3E"/>
    <w:rsid w:val="00606DA9"/>
    <w:rsid w:val="00611566"/>
    <w:rsid w:val="00611D47"/>
    <w:rsid w:val="00656E1E"/>
    <w:rsid w:val="006604E4"/>
    <w:rsid w:val="0067198F"/>
    <w:rsid w:val="0069113F"/>
    <w:rsid w:val="006B36A5"/>
    <w:rsid w:val="006C54B5"/>
    <w:rsid w:val="006D1E24"/>
    <w:rsid w:val="00702BDF"/>
    <w:rsid w:val="007318F1"/>
    <w:rsid w:val="00734A5B"/>
    <w:rsid w:val="00741EC5"/>
    <w:rsid w:val="00743525"/>
    <w:rsid w:val="00744E76"/>
    <w:rsid w:val="007476DB"/>
    <w:rsid w:val="0075565E"/>
    <w:rsid w:val="00757D40"/>
    <w:rsid w:val="00774846"/>
    <w:rsid w:val="00774CC9"/>
    <w:rsid w:val="00781F0F"/>
    <w:rsid w:val="0078727C"/>
    <w:rsid w:val="007931C7"/>
    <w:rsid w:val="00797D4B"/>
    <w:rsid w:val="007C095F"/>
    <w:rsid w:val="007D5902"/>
    <w:rsid w:val="007F2676"/>
    <w:rsid w:val="00802106"/>
    <w:rsid w:val="008028A4"/>
    <w:rsid w:val="00806520"/>
    <w:rsid w:val="00830106"/>
    <w:rsid w:val="00840916"/>
    <w:rsid w:val="00853EDD"/>
    <w:rsid w:val="008604EE"/>
    <w:rsid w:val="0087401D"/>
    <w:rsid w:val="008768CA"/>
    <w:rsid w:val="00880559"/>
    <w:rsid w:val="008C2835"/>
    <w:rsid w:val="008C490B"/>
    <w:rsid w:val="0090271F"/>
    <w:rsid w:val="00903D8C"/>
    <w:rsid w:val="00942EC2"/>
    <w:rsid w:val="00954BCB"/>
    <w:rsid w:val="00961B32"/>
    <w:rsid w:val="00971683"/>
    <w:rsid w:val="00972FD7"/>
    <w:rsid w:val="00974BB0"/>
    <w:rsid w:val="009A6E4F"/>
    <w:rsid w:val="009C4D5C"/>
    <w:rsid w:val="009D0A28"/>
    <w:rsid w:val="009E618D"/>
    <w:rsid w:val="009F3B54"/>
    <w:rsid w:val="009F7E6E"/>
    <w:rsid w:val="00A10F02"/>
    <w:rsid w:val="00A53724"/>
    <w:rsid w:val="00A814E6"/>
    <w:rsid w:val="00A82346"/>
    <w:rsid w:val="00A8361A"/>
    <w:rsid w:val="00A9671C"/>
    <w:rsid w:val="00AB6AAB"/>
    <w:rsid w:val="00AD4BCF"/>
    <w:rsid w:val="00AF4A8E"/>
    <w:rsid w:val="00AF78D5"/>
    <w:rsid w:val="00B1063A"/>
    <w:rsid w:val="00B15449"/>
    <w:rsid w:val="00B21241"/>
    <w:rsid w:val="00B746AA"/>
    <w:rsid w:val="00B9781E"/>
    <w:rsid w:val="00BF79F1"/>
    <w:rsid w:val="00C03035"/>
    <w:rsid w:val="00C275BC"/>
    <w:rsid w:val="00C33079"/>
    <w:rsid w:val="00C365F1"/>
    <w:rsid w:val="00C43B31"/>
    <w:rsid w:val="00C50536"/>
    <w:rsid w:val="00C55EB7"/>
    <w:rsid w:val="00CA3D0C"/>
    <w:rsid w:val="00CB6651"/>
    <w:rsid w:val="00CB6887"/>
    <w:rsid w:val="00CD4C7B"/>
    <w:rsid w:val="00D22038"/>
    <w:rsid w:val="00D45717"/>
    <w:rsid w:val="00D738D6"/>
    <w:rsid w:val="00D80795"/>
    <w:rsid w:val="00D87E00"/>
    <w:rsid w:val="00D908B4"/>
    <w:rsid w:val="00D9134D"/>
    <w:rsid w:val="00D97CD9"/>
    <w:rsid w:val="00DA7A03"/>
    <w:rsid w:val="00DB1818"/>
    <w:rsid w:val="00DC309B"/>
    <w:rsid w:val="00DC4DA2"/>
    <w:rsid w:val="00DE1406"/>
    <w:rsid w:val="00E07838"/>
    <w:rsid w:val="00E340BC"/>
    <w:rsid w:val="00E51F8B"/>
    <w:rsid w:val="00E62835"/>
    <w:rsid w:val="00E77645"/>
    <w:rsid w:val="00E852FF"/>
    <w:rsid w:val="00E90ABE"/>
    <w:rsid w:val="00E96CEA"/>
    <w:rsid w:val="00EA1D56"/>
    <w:rsid w:val="00EA22F8"/>
    <w:rsid w:val="00EC4A25"/>
    <w:rsid w:val="00EE0A1E"/>
    <w:rsid w:val="00F025A2"/>
    <w:rsid w:val="00F2026E"/>
    <w:rsid w:val="00F2210A"/>
    <w:rsid w:val="00F37743"/>
    <w:rsid w:val="00F54A3D"/>
    <w:rsid w:val="00F653B8"/>
    <w:rsid w:val="00F76F8F"/>
    <w:rsid w:val="00FA1266"/>
    <w:rsid w:val="00FB2BEA"/>
    <w:rsid w:val="00FC1192"/>
    <w:rsid w:val="00FC21EA"/>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742951">
      <w:bodyDiv w:val="1"/>
      <w:marLeft w:val="0"/>
      <w:marRight w:val="0"/>
      <w:marTop w:val="0"/>
      <w:marBottom w:val="0"/>
      <w:divBdr>
        <w:top w:val="none" w:sz="0" w:space="0" w:color="auto"/>
        <w:left w:val="none" w:sz="0" w:space="0" w:color="auto"/>
        <w:bottom w:val="none" w:sz="0" w:space="0" w:color="auto"/>
        <w:right w:val="none" w:sz="0" w:space="0" w:color="auto"/>
      </w:divBdr>
      <w:divsChild>
        <w:div w:id="2049139783">
          <w:marLeft w:val="1771"/>
          <w:marRight w:val="0"/>
          <w:marTop w:val="0"/>
          <w:marBottom w:val="74"/>
          <w:divBdr>
            <w:top w:val="none" w:sz="0" w:space="0" w:color="auto"/>
            <w:left w:val="none" w:sz="0" w:space="0" w:color="auto"/>
            <w:bottom w:val="none" w:sz="0" w:space="0" w:color="auto"/>
            <w:right w:val="none" w:sz="0" w:space="0" w:color="auto"/>
          </w:divBdr>
        </w:div>
      </w:divsChild>
    </w:div>
    <w:div w:id="1838960308">
      <w:bodyDiv w:val="1"/>
      <w:marLeft w:val="0"/>
      <w:marRight w:val="0"/>
      <w:marTop w:val="0"/>
      <w:marBottom w:val="0"/>
      <w:divBdr>
        <w:top w:val="none" w:sz="0" w:space="0" w:color="auto"/>
        <w:left w:val="none" w:sz="0" w:space="0" w:color="auto"/>
        <w:bottom w:val="none" w:sz="0" w:space="0" w:color="auto"/>
        <w:right w:val="none" w:sz="0" w:space="0" w:color="auto"/>
      </w:divBdr>
      <w:divsChild>
        <w:div w:id="1365013905">
          <w:marLeft w:val="1771"/>
          <w:marRight w:val="0"/>
          <w:marTop w:val="0"/>
          <w:marBottom w:val="74"/>
          <w:divBdr>
            <w:top w:val="none" w:sz="0" w:space="0" w:color="auto"/>
            <w:left w:val="none" w:sz="0" w:space="0" w:color="auto"/>
            <w:bottom w:val="none" w:sz="0" w:space="0" w:color="auto"/>
            <w:right w:val="none" w:sz="0" w:space="0" w:color="auto"/>
          </w:divBdr>
        </w:div>
      </w:divsChild>
    </w:div>
    <w:div w:id="1847015467">
      <w:bodyDiv w:val="1"/>
      <w:marLeft w:val="0"/>
      <w:marRight w:val="0"/>
      <w:marTop w:val="0"/>
      <w:marBottom w:val="0"/>
      <w:divBdr>
        <w:top w:val="none" w:sz="0" w:space="0" w:color="auto"/>
        <w:left w:val="none" w:sz="0" w:space="0" w:color="auto"/>
        <w:bottom w:val="none" w:sz="0" w:space="0" w:color="auto"/>
        <w:right w:val="none" w:sz="0" w:space="0" w:color="auto"/>
      </w:divBdr>
      <w:divsChild>
        <w:div w:id="267083028">
          <w:marLeft w:val="1771"/>
          <w:marRight w:val="0"/>
          <w:marTop w:val="0"/>
          <w:marBottom w:val="74"/>
          <w:divBdr>
            <w:top w:val="none" w:sz="0" w:space="0" w:color="auto"/>
            <w:left w:val="none" w:sz="0" w:space="0" w:color="auto"/>
            <w:bottom w:val="none" w:sz="0" w:space="0" w:color="auto"/>
            <w:right w:val="none" w:sz="0" w:space="0" w:color="auto"/>
          </w:divBdr>
        </w:div>
      </w:divsChild>
    </w:div>
    <w:div w:id="1880895239">
      <w:bodyDiv w:val="1"/>
      <w:marLeft w:val="0"/>
      <w:marRight w:val="0"/>
      <w:marTop w:val="0"/>
      <w:marBottom w:val="0"/>
      <w:divBdr>
        <w:top w:val="none" w:sz="0" w:space="0" w:color="auto"/>
        <w:left w:val="none" w:sz="0" w:space="0" w:color="auto"/>
        <w:bottom w:val="none" w:sz="0" w:space="0" w:color="auto"/>
        <w:right w:val="none" w:sz="0" w:space="0" w:color="auto"/>
      </w:divBdr>
      <w:divsChild>
        <w:div w:id="1336034825">
          <w:marLeft w:val="1771"/>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5AIRPNAIUNRU-1156379521-3279</_dlc_DocId>
    <_dlc_DocIdUrl xmlns="71c5aaf6-e6ce-465b-b873-5148d2a4c105">
      <Url>https://nokia.sharepoint.com/sites/c5g/e2earch/_layouts/15/DocIdRedir.aspx?ID=5AIRPNAIUNRU-1156379521-3279</Url>
      <Description>5AIRPNAIUNRU-1156379521-3279</Description>
    </_dlc_DocIdUrl>
  </documentManagement>
</p:properties>
</file>

<file path=customXml/itemProps1.xml><?xml version="1.0" encoding="utf-8"?>
<ds:datastoreItem xmlns:ds="http://schemas.openxmlformats.org/officeDocument/2006/customXml" ds:itemID="{7F8F28DD-186D-426A-B3EF-106FA6C593F4}">
  <ds:schemaRefs>
    <ds:schemaRef ds:uri="http://schemas.microsoft.com/sharepoint/v3/contenttype/forms"/>
  </ds:schemaRefs>
</ds:datastoreItem>
</file>

<file path=customXml/itemProps2.xml><?xml version="1.0" encoding="utf-8"?>
<ds:datastoreItem xmlns:ds="http://schemas.openxmlformats.org/officeDocument/2006/customXml" ds:itemID="{AE3BD01D-2286-42AF-A4C4-E364609A8D25}">
  <ds:schemaRefs>
    <ds:schemaRef ds:uri="http://schemas.microsoft.com/sharepoint/events"/>
  </ds:schemaRefs>
</ds:datastoreItem>
</file>

<file path=customXml/itemProps3.xml><?xml version="1.0" encoding="utf-8"?>
<ds:datastoreItem xmlns:ds="http://schemas.openxmlformats.org/officeDocument/2006/customXml" ds:itemID="{D3F3F1D9-C2FC-4049-BD14-20CEBD2AB79F}">
  <ds:schemaRefs>
    <ds:schemaRef ds:uri="Microsoft.SharePoint.Taxonomy.ContentTypeSync"/>
  </ds:schemaRefs>
</ds:datastoreItem>
</file>

<file path=customXml/itemProps4.xml><?xml version="1.0" encoding="utf-8"?>
<ds:datastoreItem xmlns:ds="http://schemas.openxmlformats.org/officeDocument/2006/customXml" ds:itemID="{F569338D-A841-4890-A8D1-E7C15BEC2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97860A-4DD8-4187-ACF6-1ECA04832E7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90</TotalTime>
  <Pages>2</Pages>
  <Words>562</Words>
  <Characters>3097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cp:lastModifiedBy>
  <cp:revision>32</cp:revision>
  <dcterms:created xsi:type="dcterms:W3CDTF">2019-06-29T13:33:00Z</dcterms:created>
  <dcterms:modified xsi:type="dcterms:W3CDTF">2022-11-04T00:10:00Z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f81a51f3-559f-4041-81ca-17eb07a87746</vt:lpwstr>
  </property>
</Properties>
</file>